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56" w:rsidRPr="006A2189" w:rsidRDefault="00E81956" w:rsidP="00881647">
      <w:pPr>
        <w:jc w:val="center"/>
        <w:rPr>
          <w:rFonts w:ascii="標楷體" w:eastAsia="標楷體" w:hAnsi="標楷體"/>
          <w:sz w:val="32"/>
          <w:szCs w:val="32"/>
        </w:rPr>
      </w:pPr>
      <w:r w:rsidRPr="006A2189">
        <w:rPr>
          <w:rFonts w:ascii="標楷體" w:eastAsia="標楷體" w:hAnsi="標楷體" w:hint="eastAsia"/>
          <w:sz w:val="32"/>
          <w:szCs w:val="32"/>
        </w:rPr>
        <w:t>台灣</w:t>
      </w:r>
      <w:proofErr w:type="gramStart"/>
      <w:r w:rsidRPr="006A2189">
        <w:rPr>
          <w:rFonts w:ascii="標楷體" w:eastAsia="標楷體" w:hAnsi="標楷體" w:hint="eastAsia"/>
          <w:sz w:val="32"/>
          <w:szCs w:val="32"/>
        </w:rPr>
        <w:t>世</w:t>
      </w:r>
      <w:proofErr w:type="gramEnd"/>
      <w:r w:rsidRPr="006A2189">
        <w:rPr>
          <w:rFonts w:ascii="標楷體" w:eastAsia="標楷體" w:hAnsi="標楷體" w:hint="eastAsia"/>
          <w:sz w:val="32"/>
          <w:szCs w:val="32"/>
        </w:rPr>
        <w:t>曦工程顧問股份有限公司企業工會</w:t>
      </w:r>
    </w:p>
    <w:p w:rsidR="00E81956" w:rsidRPr="006A2189" w:rsidRDefault="00E81956" w:rsidP="005036DA">
      <w:pPr>
        <w:spacing w:line="0" w:lineRule="atLeast"/>
        <w:jc w:val="center"/>
        <w:rPr>
          <w:rFonts w:ascii="標楷體" w:eastAsia="標楷體" w:hAnsi="標楷體"/>
          <w:sz w:val="32"/>
          <w:szCs w:val="32"/>
        </w:rPr>
      </w:pPr>
      <w:proofErr w:type="gramStart"/>
      <w:r w:rsidRPr="006A2189">
        <w:rPr>
          <w:rFonts w:ascii="標楷體" w:eastAsia="標楷體" w:hAnsi="標楷體" w:hint="eastAsia"/>
          <w:sz w:val="32"/>
          <w:szCs w:val="32"/>
        </w:rPr>
        <w:t>105</w:t>
      </w:r>
      <w:proofErr w:type="gramEnd"/>
      <w:r w:rsidRPr="006A2189">
        <w:rPr>
          <w:rFonts w:ascii="標楷體" w:eastAsia="標楷體" w:hAnsi="標楷體" w:hint="eastAsia"/>
          <w:sz w:val="32"/>
          <w:szCs w:val="32"/>
        </w:rPr>
        <w:t>年度勞工教育課程</w:t>
      </w:r>
    </w:p>
    <w:p w:rsidR="006A2189" w:rsidRPr="006A2189" w:rsidRDefault="006A2189" w:rsidP="006A2189">
      <w:pPr>
        <w:jc w:val="center"/>
        <w:rPr>
          <w:rFonts w:ascii="標楷體" w:eastAsia="標楷體" w:hAnsi="標楷體"/>
          <w:b/>
          <w:sz w:val="28"/>
          <w:szCs w:val="28"/>
        </w:rPr>
      </w:pPr>
      <w:r w:rsidRPr="006A2189">
        <w:rPr>
          <w:rFonts w:ascii="標楷體" w:eastAsia="標楷體" w:hAnsi="標楷體" w:hint="eastAsia"/>
          <w:b/>
          <w:sz w:val="28"/>
          <w:szCs w:val="28"/>
        </w:rPr>
        <w:t>淺談勞資爭議處理程序</w:t>
      </w:r>
    </w:p>
    <w:p w:rsidR="006A2189" w:rsidRPr="006A2189" w:rsidRDefault="006A2189" w:rsidP="006A2189">
      <w:pPr>
        <w:jc w:val="center"/>
        <w:rPr>
          <w:rFonts w:ascii="標楷體" w:eastAsia="標楷體" w:hAnsi="標楷體"/>
          <w:b/>
          <w:sz w:val="28"/>
          <w:szCs w:val="28"/>
        </w:rPr>
      </w:pPr>
      <w:r w:rsidRPr="006A2189">
        <w:rPr>
          <w:rFonts w:ascii="標楷體" w:eastAsia="標楷體" w:hAnsi="標楷體" w:hint="eastAsia"/>
          <w:b/>
          <w:sz w:val="28"/>
          <w:szCs w:val="28"/>
        </w:rPr>
        <w:t>權利事項與調整事項調解差別</w:t>
      </w:r>
    </w:p>
    <w:p w:rsidR="006A2189" w:rsidRPr="006A2189" w:rsidRDefault="006A2189" w:rsidP="006A2189">
      <w:pPr>
        <w:spacing w:line="420" w:lineRule="exact"/>
        <w:jc w:val="center"/>
        <w:rPr>
          <w:rFonts w:ascii="標楷體" w:eastAsia="標楷體" w:hAnsi="標楷體"/>
        </w:rPr>
      </w:pPr>
      <w:r w:rsidRPr="006A2189">
        <w:rPr>
          <w:rFonts w:ascii="標楷體" w:eastAsia="標楷體" w:hAnsi="標楷體" w:hint="eastAsia"/>
        </w:rPr>
        <w:t>◎韓仕賢（全國金融業工會聯合總會秘書長）</w:t>
      </w:r>
    </w:p>
    <w:p w:rsidR="006A2189" w:rsidRPr="006A2189" w:rsidRDefault="006A2189" w:rsidP="006A2189">
      <w:pPr>
        <w:spacing w:line="420" w:lineRule="exact"/>
        <w:jc w:val="both"/>
        <w:rPr>
          <w:rFonts w:ascii="標楷體" w:eastAsia="標楷體" w:hAnsi="標楷體"/>
          <w:bCs/>
        </w:rPr>
      </w:pPr>
      <w:r w:rsidRPr="006A2189">
        <w:rPr>
          <w:rFonts w:ascii="標楷體" w:eastAsia="標楷體" w:hAnsi="標楷體" w:hint="eastAsia"/>
        </w:rPr>
        <w:t xml:space="preserve">　　所謂「調解」，是指勞資爭議發生時，勞資雙方當事人無法自行獲得和解，而由法定之機構或其他第三人依法定程序，周旋於爭議當事人</w:t>
      </w:r>
      <w:proofErr w:type="gramStart"/>
      <w:r w:rsidRPr="006A2189">
        <w:rPr>
          <w:rFonts w:ascii="標楷體" w:eastAsia="標楷體" w:hAnsi="標楷體" w:hint="eastAsia"/>
        </w:rPr>
        <w:t>之間，</w:t>
      </w:r>
      <w:proofErr w:type="gramEnd"/>
      <w:r w:rsidRPr="006A2189">
        <w:rPr>
          <w:rFonts w:ascii="標楷體" w:eastAsia="標楷體" w:hAnsi="標楷體" w:hint="eastAsia"/>
        </w:rPr>
        <w:t>調查雙方之要求而為適當之建議，使當事人達成妥協之制度。</w:t>
      </w:r>
      <w:r w:rsidRPr="006A2189">
        <w:rPr>
          <w:rFonts w:ascii="標楷體" w:eastAsia="標楷體" w:hAnsi="標楷體" w:hint="eastAsia"/>
          <w:bCs/>
        </w:rPr>
        <w:t>《勞資爭議處理法》第</w:t>
      </w:r>
      <w:r w:rsidRPr="006A2189">
        <w:rPr>
          <w:rFonts w:ascii="標楷體" w:eastAsia="標楷體" w:hAnsi="標楷體"/>
          <w:bCs/>
        </w:rPr>
        <w:t>5</w:t>
      </w:r>
      <w:r w:rsidRPr="006A2189">
        <w:rPr>
          <w:rFonts w:ascii="標楷體" w:eastAsia="標楷體" w:hAnsi="標楷體" w:hint="eastAsia"/>
          <w:bCs/>
        </w:rPr>
        <w:t>條對於「</w:t>
      </w:r>
      <w:r w:rsidRPr="006A2189">
        <w:rPr>
          <w:rFonts w:ascii="標楷體" w:eastAsia="標楷體" w:hAnsi="標楷體" w:hint="eastAsia"/>
        </w:rPr>
        <w:t>勞資爭議</w:t>
      </w:r>
      <w:r w:rsidRPr="006A2189">
        <w:rPr>
          <w:rFonts w:ascii="標楷體" w:eastAsia="標楷體" w:hAnsi="標楷體" w:hint="eastAsia"/>
          <w:bCs/>
        </w:rPr>
        <w:t>」之定義為「指權利事項及調整事項之勞資爭議」</w:t>
      </w:r>
      <w:r w:rsidRPr="006A2189">
        <w:rPr>
          <w:rFonts w:ascii="標楷體" w:eastAsia="標楷體" w:hAnsi="標楷體" w:hint="eastAsia"/>
        </w:rPr>
        <w:t>，並進一步定義</w:t>
      </w:r>
      <w:r w:rsidRPr="006A2189">
        <w:rPr>
          <w:rFonts w:ascii="標楷體" w:eastAsia="標楷體" w:hAnsi="標楷體" w:hint="eastAsia"/>
          <w:bCs/>
        </w:rPr>
        <w:t>「權利事項之勞資爭議」及「調整事項之勞資爭議」如下：</w:t>
      </w:r>
    </w:p>
    <w:p w:rsidR="006A2189" w:rsidRPr="006A2189" w:rsidRDefault="006A2189" w:rsidP="006A2189">
      <w:pPr>
        <w:pStyle w:val="a4"/>
        <w:numPr>
          <w:ilvl w:val="0"/>
          <w:numId w:val="1"/>
        </w:numPr>
        <w:spacing w:line="420" w:lineRule="exact"/>
        <w:ind w:leftChars="0"/>
        <w:jc w:val="both"/>
        <w:rPr>
          <w:rFonts w:ascii="標楷體" w:eastAsia="標楷體" w:hAnsi="標楷體"/>
        </w:rPr>
      </w:pPr>
      <w:r w:rsidRPr="006A2189">
        <w:rPr>
          <w:rFonts w:ascii="標楷體" w:eastAsia="標楷體" w:hAnsi="標楷體" w:hint="eastAsia"/>
          <w:bCs/>
        </w:rPr>
        <w:t>權利事項之勞資爭議：</w:t>
      </w:r>
      <w:r w:rsidRPr="006A2189">
        <w:rPr>
          <w:rFonts w:ascii="標楷體" w:eastAsia="標楷體" w:hAnsi="標楷體" w:hint="eastAsia"/>
          <w:snapToGrid w:val="0"/>
          <w:kern w:val="0"/>
        </w:rPr>
        <w:t>「指勞資雙方當事人基於法令、團體協約、勞動契約之規定所為權利義務之爭議。」例如：雇主</w:t>
      </w:r>
      <w:r w:rsidRPr="006A2189">
        <w:rPr>
          <w:rFonts w:ascii="標楷體" w:eastAsia="標楷體" w:hAnsi="標楷體" w:hint="eastAsia"/>
        </w:rPr>
        <w:t>若是違反勞動契約，</w:t>
      </w:r>
      <w:proofErr w:type="gramStart"/>
      <w:r w:rsidRPr="006A2189">
        <w:rPr>
          <w:rFonts w:ascii="標楷體" w:eastAsia="標楷體" w:hAnsi="標楷體" w:hint="eastAsia"/>
        </w:rPr>
        <w:t>不</w:t>
      </w:r>
      <w:proofErr w:type="gramEnd"/>
      <w:r w:rsidRPr="006A2189">
        <w:rPr>
          <w:rFonts w:ascii="標楷體" w:eastAsia="標楷體" w:hAnsi="標楷體" w:hint="eastAsia"/>
        </w:rPr>
        <w:t>依約給付勞工報酬，發生「積欠工資」的勞資爭議，勞方當事人就可以申請調解，透過勞工行政主管機關協助處理；另外公司未給付加班費、獎金等，雇主無端解僱勞工、拒絕給付資遣費或退休金等，也都是常見的「權利事項」勞資爭議。</w:t>
      </w:r>
    </w:p>
    <w:p w:rsidR="006A2189" w:rsidRPr="006A2189" w:rsidRDefault="006A2189" w:rsidP="006A2189">
      <w:pPr>
        <w:pStyle w:val="a4"/>
        <w:numPr>
          <w:ilvl w:val="0"/>
          <w:numId w:val="1"/>
        </w:numPr>
        <w:spacing w:line="420" w:lineRule="exact"/>
        <w:ind w:leftChars="0"/>
        <w:jc w:val="both"/>
        <w:rPr>
          <w:rFonts w:ascii="標楷體" w:eastAsia="標楷體" w:hAnsi="標楷體"/>
        </w:rPr>
      </w:pPr>
      <w:r w:rsidRPr="006A2189">
        <w:rPr>
          <w:rFonts w:ascii="標楷體" w:eastAsia="標楷體" w:hAnsi="標楷體" w:hint="eastAsia"/>
          <w:bCs/>
        </w:rPr>
        <w:t>調整事項之勞資爭議：</w:t>
      </w:r>
      <w:r w:rsidRPr="006A2189">
        <w:rPr>
          <w:rFonts w:ascii="標楷體" w:eastAsia="標楷體" w:hAnsi="標楷體" w:hint="eastAsia"/>
          <w:snapToGrid w:val="0"/>
          <w:kern w:val="0"/>
        </w:rPr>
        <w:t>「指勞資雙方當事人對於勞動條件主張繼續維持或變更之爭議。」例如：雇主與工會對於調薪幅度爭執不下，因為無「法」可循，唯有透過勞資雙方進行集體協商，或者申請「仲裁」判斷，必要時則採取爭議行為或罷工，以解決爭議。</w:t>
      </w:r>
      <w:r w:rsidRPr="006A2189">
        <w:rPr>
          <w:rFonts w:ascii="標楷體" w:eastAsia="標楷體" w:hAnsi="標楷體" w:hint="eastAsia"/>
        </w:rPr>
        <w:t>調整事項的勞資爭議多半是以改變將來的勞動條件或環境為爭議事項，讓勞工有爭取更完善勞動條件及權益的保障，諸如要求公司降低工時、加薪、增加休假日數</w:t>
      </w:r>
      <w:r w:rsidRPr="006A2189">
        <w:rPr>
          <w:rFonts w:ascii="標楷體" w:eastAsia="標楷體" w:hAnsi="標楷體" w:hint="eastAsia"/>
          <w:kern w:val="0"/>
          <w:lang w:bidi="sa-IN"/>
        </w:rPr>
        <w:t>、加發獎金、</w:t>
      </w:r>
      <w:proofErr w:type="gramStart"/>
      <w:r w:rsidRPr="006A2189">
        <w:rPr>
          <w:rFonts w:ascii="標楷體" w:eastAsia="標楷體" w:hAnsi="標楷體" w:hint="eastAsia"/>
          <w:kern w:val="0"/>
          <w:lang w:bidi="sa-IN"/>
        </w:rPr>
        <w:t>增付福利</w:t>
      </w:r>
      <w:proofErr w:type="gramEnd"/>
      <w:r w:rsidRPr="006A2189">
        <w:rPr>
          <w:rFonts w:ascii="標楷體" w:eastAsia="標楷體" w:hAnsi="標楷體" w:hint="eastAsia"/>
          <w:kern w:val="0"/>
          <w:lang w:bidi="sa-IN"/>
        </w:rPr>
        <w:t>津貼</w:t>
      </w:r>
      <w:r w:rsidRPr="006A2189">
        <w:rPr>
          <w:rFonts w:ascii="標楷體" w:eastAsia="標楷體" w:hAnsi="標楷體" w:hint="eastAsia"/>
        </w:rPr>
        <w:t>、提高工作環境安全衛生</w:t>
      </w:r>
      <w:r w:rsidRPr="006A2189">
        <w:rPr>
          <w:rFonts w:ascii="標楷體" w:eastAsia="標楷體" w:hAnsi="標楷體" w:hint="eastAsia"/>
          <w:kern w:val="0"/>
          <w:lang w:bidi="sa-IN"/>
        </w:rPr>
        <w:t>等。</w:t>
      </w:r>
    </w:p>
    <w:p w:rsidR="006A2189" w:rsidRPr="006A2189" w:rsidRDefault="006A2189" w:rsidP="006A2189">
      <w:pPr>
        <w:spacing w:line="420" w:lineRule="exact"/>
        <w:jc w:val="both"/>
        <w:rPr>
          <w:rFonts w:ascii="標楷體" w:eastAsia="標楷體" w:hAnsi="標楷體"/>
          <w:bCs/>
        </w:rPr>
      </w:pPr>
      <w:r w:rsidRPr="006A2189">
        <w:rPr>
          <w:rFonts w:ascii="標楷體" w:eastAsia="標楷體" w:hAnsi="標楷體"/>
        </w:rPr>
        <w:t xml:space="preserve">    </w:t>
      </w:r>
      <w:r w:rsidRPr="006A2189">
        <w:rPr>
          <w:rFonts w:ascii="標楷體" w:eastAsia="標楷體" w:hAnsi="標楷體" w:hint="eastAsia"/>
        </w:rPr>
        <w:t>根據勞動部統計資料，</w:t>
      </w:r>
      <w:r w:rsidRPr="006A2189">
        <w:rPr>
          <w:rFonts w:ascii="標楷體" w:eastAsia="標楷體" w:hAnsi="標楷體"/>
        </w:rPr>
        <w:t>103</w:t>
      </w:r>
      <w:r w:rsidRPr="006A2189">
        <w:rPr>
          <w:rFonts w:ascii="標楷體" w:eastAsia="標楷體" w:hAnsi="標楷體" w:hint="eastAsia"/>
        </w:rPr>
        <w:t>年勞資爭議總數</w:t>
      </w:r>
      <w:r w:rsidRPr="006A2189">
        <w:rPr>
          <w:rFonts w:ascii="標楷體" w:eastAsia="標楷體" w:hAnsi="標楷體"/>
        </w:rPr>
        <w:t>22,703</w:t>
      </w:r>
      <w:r w:rsidRPr="006A2189">
        <w:rPr>
          <w:rFonts w:ascii="標楷體" w:eastAsia="標楷體" w:hAnsi="標楷體" w:hint="eastAsia"/>
        </w:rPr>
        <w:t>件，屬權利事項爭議</w:t>
      </w:r>
      <w:r w:rsidRPr="006A2189">
        <w:rPr>
          <w:rFonts w:ascii="標楷體" w:eastAsia="標楷體" w:hAnsi="標楷體"/>
        </w:rPr>
        <w:t>22,562</w:t>
      </w:r>
      <w:r w:rsidRPr="006A2189">
        <w:rPr>
          <w:rFonts w:ascii="標楷體" w:eastAsia="標楷體" w:hAnsi="標楷體" w:hint="eastAsia"/>
        </w:rPr>
        <w:t>件（</w:t>
      </w:r>
      <w:r w:rsidRPr="006A2189">
        <w:rPr>
          <w:rFonts w:ascii="標楷體" w:eastAsia="標楷體" w:hAnsi="標楷體"/>
        </w:rPr>
        <w:t>99.4</w:t>
      </w:r>
      <w:r w:rsidRPr="006A2189">
        <w:rPr>
          <w:rFonts w:ascii="標楷體" w:eastAsia="標楷體" w:hAnsi="標楷體" w:hint="eastAsia"/>
        </w:rPr>
        <w:t>％）、調整事項爭議僅</w:t>
      </w:r>
      <w:r w:rsidRPr="006A2189">
        <w:rPr>
          <w:rFonts w:ascii="標楷體" w:eastAsia="標楷體" w:hAnsi="標楷體"/>
        </w:rPr>
        <w:t>141</w:t>
      </w:r>
      <w:r w:rsidRPr="006A2189">
        <w:rPr>
          <w:rFonts w:ascii="標楷體" w:eastAsia="標楷體" w:hAnsi="標楷體" w:hint="eastAsia"/>
        </w:rPr>
        <w:t>件（</w:t>
      </w:r>
      <w:r w:rsidRPr="006A2189">
        <w:rPr>
          <w:rFonts w:ascii="標楷體" w:eastAsia="標楷體" w:hAnsi="標楷體"/>
        </w:rPr>
        <w:t>0.6</w:t>
      </w:r>
      <w:r w:rsidRPr="006A2189">
        <w:rPr>
          <w:rFonts w:ascii="標楷體" w:eastAsia="標楷體" w:hAnsi="標楷體" w:hint="eastAsia"/>
        </w:rPr>
        <w:t>％）；</w:t>
      </w:r>
      <w:r w:rsidRPr="006A2189">
        <w:rPr>
          <w:rFonts w:ascii="標楷體" w:eastAsia="標楷體" w:hAnsi="標楷體"/>
        </w:rPr>
        <w:t>104</w:t>
      </w:r>
      <w:r w:rsidRPr="006A2189">
        <w:rPr>
          <w:rFonts w:ascii="標楷體" w:eastAsia="標楷體" w:hAnsi="標楷體" w:hint="eastAsia"/>
        </w:rPr>
        <w:t>年勞資爭議總數</w:t>
      </w:r>
      <w:r w:rsidRPr="006A2189">
        <w:rPr>
          <w:rFonts w:ascii="標楷體" w:eastAsia="標楷體" w:hAnsi="標楷體"/>
        </w:rPr>
        <w:t>23,204</w:t>
      </w:r>
      <w:r w:rsidRPr="006A2189">
        <w:rPr>
          <w:rFonts w:ascii="標楷體" w:eastAsia="標楷體" w:hAnsi="標楷體" w:hint="eastAsia"/>
        </w:rPr>
        <w:t>件，屬權利事項爭議</w:t>
      </w:r>
      <w:r w:rsidRPr="006A2189">
        <w:rPr>
          <w:rFonts w:ascii="標楷體" w:eastAsia="標楷體" w:hAnsi="標楷體"/>
        </w:rPr>
        <w:t>23,121</w:t>
      </w:r>
      <w:r w:rsidRPr="006A2189">
        <w:rPr>
          <w:rFonts w:ascii="標楷體" w:eastAsia="標楷體" w:hAnsi="標楷體" w:hint="eastAsia"/>
        </w:rPr>
        <w:t>件（</w:t>
      </w:r>
      <w:r w:rsidRPr="006A2189">
        <w:rPr>
          <w:rFonts w:ascii="標楷體" w:eastAsia="標楷體" w:hAnsi="標楷體"/>
        </w:rPr>
        <w:t>99.6</w:t>
      </w:r>
      <w:r w:rsidRPr="006A2189">
        <w:rPr>
          <w:rFonts w:ascii="標楷體" w:eastAsia="標楷體" w:hAnsi="標楷體" w:hint="eastAsia"/>
        </w:rPr>
        <w:t>％）、調整事項爭議僅</w:t>
      </w:r>
      <w:r w:rsidRPr="006A2189">
        <w:rPr>
          <w:rFonts w:ascii="標楷體" w:eastAsia="標楷體" w:hAnsi="標楷體"/>
        </w:rPr>
        <w:t>83</w:t>
      </w:r>
      <w:r w:rsidRPr="006A2189">
        <w:rPr>
          <w:rFonts w:ascii="標楷體" w:eastAsia="標楷體" w:hAnsi="標楷體" w:hint="eastAsia"/>
        </w:rPr>
        <w:t>件（</w:t>
      </w:r>
      <w:r w:rsidRPr="006A2189">
        <w:rPr>
          <w:rFonts w:ascii="標楷體" w:eastAsia="標楷體" w:hAnsi="標楷體"/>
        </w:rPr>
        <w:t>0.4</w:t>
      </w:r>
      <w:r w:rsidRPr="006A2189">
        <w:rPr>
          <w:rFonts w:ascii="標楷體" w:eastAsia="標楷體" w:hAnsi="標楷體" w:hint="eastAsia"/>
        </w:rPr>
        <w:t>％），兩者在申請件數上相差極為懸殊。由此可知，就勞資</w:t>
      </w:r>
      <w:r w:rsidRPr="006A2189">
        <w:rPr>
          <w:rFonts w:ascii="標楷體" w:eastAsia="標楷體" w:hAnsi="標楷體" w:hint="eastAsia"/>
          <w:bCs/>
        </w:rPr>
        <w:t>爭議性質而言，仍以「權利事項爭議」之案件為主。</w:t>
      </w:r>
    </w:p>
    <w:p w:rsidR="006A2189" w:rsidRPr="006A2189" w:rsidRDefault="006A2189" w:rsidP="006A2189">
      <w:pPr>
        <w:spacing w:line="420" w:lineRule="exact"/>
        <w:jc w:val="both"/>
        <w:rPr>
          <w:rFonts w:ascii="標楷體" w:eastAsia="標楷體" w:hAnsi="標楷體"/>
          <w:kern w:val="0"/>
          <w:lang w:bidi="sa-IN"/>
        </w:rPr>
      </w:pPr>
      <w:r w:rsidRPr="006A2189">
        <w:rPr>
          <w:rFonts w:ascii="標楷體" w:eastAsia="標楷體" w:hAnsi="標楷體"/>
          <w:kern w:val="0"/>
          <w:lang w:bidi="sa-IN"/>
        </w:rPr>
        <w:t xml:space="preserve">    </w:t>
      </w:r>
      <w:r w:rsidRPr="006A2189">
        <w:rPr>
          <w:rFonts w:ascii="標楷體" w:eastAsia="標楷體" w:hAnsi="標楷體" w:hint="eastAsia"/>
          <w:bCs/>
        </w:rPr>
        <w:t>《勞資爭議處理法》</w:t>
      </w:r>
      <w:r w:rsidRPr="006A2189">
        <w:rPr>
          <w:rFonts w:ascii="標楷體" w:eastAsia="標楷體" w:hAnsi="標楷體" w:hint="eastAsia"/>
          <w:kern w:val="0"/>
          <w:lang w:bidi="sa-IN"/>
        </w:rPr>
        <w:t>規定，勞工遭遇「權利事項」之勞資爭議，依法有調解、仲裁或裁決</w:t>
      </w:r>
      <w:r w:rsidRPr="006A2189">
        <w:rPr>
          <w:rFonts w:ascii="標楷體" w:eastAsia="標楷體" w:hAnsi="標楷體"/>
          <w:kern w:val="0"/>
          <w:lang w:bidi="sa-IN"/>
        </w:rPr>
        <w:t>3</w:t>
      </w:r>
      <w:r w:rsidRPr="006A2189">
        <w:rPr>
          <w:rFonts w:ascii="標楷體" w:eastAsia="標楷體" w:hAnsi="標楷體" w:hint="eastAsia"/>
          <w:kern w:val="0"/>
          <w:lang w:bidi="sa-IN"/>
        </w:rPr>
        <w:t>種處理程序，此外也可以直接透過司法訴訟的方式，由法院依法審理判決；因權利事項而發生的勞資爭議，勞方當事人提起訴訟或依《仲裁法》提起仲裁者，中央主管機關得給予適當扶助。若為「調整事項」之勞資爭議，則可循調解及仲裁兩種方式處理，但不適用裁決程序及司法訴訟。特別要注意的是，申請調整事項勞資爭議之勞方當事人應為「工會」，但若是未加入工會，而「具有相同主張之勞工達</w:t>
      </w:r>
      <w:r w:rsidRPr="006A2189">
        <w:rPr>
          <w:rFonts w:ascii="標楷體" w:eastAsia="標楷體" w:hAnsi="標楷體"/>
          <w:kern w:val="0"/>
          <w:lang w:bidi="sa-IN"/>
        </w:rPr>
        <w:t>10</w:t>
      </w:r>
      <w:r w:rsidRPr="006A2189">
        <w:rPr>
          <w:rFonts w:ascii="標楷體" w:eastAsia="標楷體" w:hAnsi="標楷體" w:hint="eastAsia"/>
          <w:kern w:val="0"/>
          <w:lang w:bidi="sa-IN"/>
        </w:rPr>
        <w:t>人以上」，或</w:t>
      </w:r>
      <w:r w:rsidRPr="006A2189">
        <w:rPr>
          <w:rFonts w:ascii="標楷體" w:eastAsia="標楷體" w:hAnsi="標楷體" w:hint="eastAsia"/>
          <w:kern w:val="0"/>
          <w:lang w:bidi="sa-IN"/>
        </w:rPr>
        <w:lastRenderedPageBreak/>
        <w:t>「受</w:t>
      </w:r>
      <w:proofErr w:type="gramStart"/>
      <w:r w:rsidRPr="006A2189">
        <w:rPr>
          <w:rFonts w:ascii="標楷體" w:eastAsia="標楷體" w:hAnsi="標楷體" w:hint="eastAsia"/>
          <w:kern w:val="0"/>
          <w:lang w:bidi="sa-IN"/>
        </w:rPr>
        <w:t>僱</w:t>
      </w:r>
      <w:proofErr w:type="gramEnd"/>
      <w:r w:rsidRPr="006A2189">
        <w:rPr>
          <w:rFonts w:ascii="標楷體" w:eastAsia="標楷體" w:hAnsi="標楷體" w:hint="eastAsia"/>
          <w:kern w:val="0"/>
          <w:lang w:bidi="sa-IN"/>
        </w:rPr>
        <w:t>於僱用勞工未滿</w:t>
      </w:r>
      <w:r w:rsidRPr="006A2189">
        <w:rPr>
          <w:rFonts w:ascii="標楷體" w:eastAsia="標楷體" w:hAnsi="標楷體"/>
          <w:kern w:val="0"/>
          <w:lang w:bidi="sa-IN"/>
        </w:rPr>
        <w:t>10</w:t>
      </w:r>
      <w:r w:rsidRPr="006A2189">
        <w:rPr>
          <w:rFonts w:ascii="標楷體" w:eastAsia="標楷體" w:hAnsi="標楷體" w:hint="eastAsia"/>
          <w:kern w:val="0"/>
          <w:lang w:bidi="sa-IN"/>
        </w:rPr>
        <w:t>人之事業單位，其未加入工會之勞工具有相同主張者達</w:t>
      </w:r>
      <w:r w:rsidRPr="006A2189">
        <w:rPr>
          <w:rFonts w:ascii="標楷體" w:eastAsia="標楷體" w:hAnsi="標楷體"/>
          <w:kern w:val="0"/>
          <w:lang w:bidi="sa-IN"/>
        </w:rPr>
        <w:t>3</w:t>
      </w:r>
      <w:r w:rsidRPr="006A2189">
        <w:rPr>
          <w:rFonts w:ascii="標楷體" w:eastAsia="標楷體" w:hAnsi="標楷體" w:hint="eastAsia"/>
          <w:kern w:val="0"/>
          <w:lang w:bidi="sa-IN"/>
        </w:rPr>
        <w:t>分之</w:t>
      </w:r>
      <w:r w:rsidRPr="006A2189">
        <w:rPr>
          <w:rFonts w:ascii="標楷體" w:eastAsia="標楷體" w:hAnsi="標楷體"/>
          <w:kern w:val="0"/>
          <w:lang w:bidi="sa-IN"/>
        </w:rPr>
        <w:t>2</w:t>
      </w:r>
      <w:r w:rsidRPr="006A2189">
        <w:rPr>
          <w:rFonts w:ascii="標楷體" w:eastAsia="標楷體" w:hAnsi="標楷體" w:hint="eastAsia"/>
          <w:kern w:val="0"/>
          <w:lang w:bidi="sa-IN"/>
        </w:rPr>
        <w:t>以上」，亦可為勞方當事人。</w:t>
      </w:r>
    </w:p>
    <w:p w:rsidR="006A2189" w:rsidRPr="006A2189" w:rsidRDefault="006A2189" w:rsidP="006A2189">
      <w:pPr>
        <w:spacing w:line="420" w:lineRule="exact"/>
        <w:ind w:firstLineChars="200" w:firstLine="480"/>
        <w:jc w:val="both"/>
        <w:rPr>
          <w:rFonts w:ascii="標楷體" w:eastAsia="標楷體" w:hAnsi="標楷體"/>
          <w:kern w:val="0"/>
          <w:lang w:bidi="sa-IN"/>
        </w:rPr>
      </w:pPr>
      <w:r w:rsidRPr="006A2189">
        <w:rPr>
          <w:rFonts w:ascii="標楷體" w:eastAsia="標楷體" w:hAnsi="標楷體" w:hint="eastAsia"/>
          <w:kern w:val="0"/>
          <w:lang w:bidi="sa-IN"/>
        </w:rPr>
        <w:t>由於勞資爭議處理也可透過仲裁程序為之，所以</w:t>
      </w:r>
      <w:r w:rsidRPr="006A2189">
        <w:rPr>
          <w:rFonts w:ascii="標楷體" w:eastAsia="標楷體" w:hAnsi="標楷體" w:hint="eastAsia"/>
          <w:bCs/>
        </w:rPr>
        <w:t>同法第</w:t>
      </w:r>
      <w:r w:rsidRPr="006A2189">
        <w:rPr>
          <w:rFonts w:ascii="標楷體" w:eastAsia="標楷體" w:hAnsi="標楷體"/>
          <w:bCs/>
        </w:rPr>
        <w:t>25</w:t>
      </w:r>
      <w:r w:rsidRPr="006A2189">
        <w:rPr>
          <w:rFonts w:ascii="標楷體" w:eastAsia="標楷體" w:hAnsi="標楷體" w:hint="eastAsia"/>
          <w:bCs/>
        </w:rPr>
        <w:t>條</w:t>
      </w:r>
      <w:r w:rsidRPr="006A2189">
        <w:rPr>
          <w:rFonts w:ascii="標楷體" w:eastAsia="標楷體" w:hAnsi="標楷體" w:hint="eastAsia"/>
          <w:kern w:val="0"/>
          <w:lang w:bidi="sa-IN"/>
        </w:rPr>
        <w:t>規定，</w:t>
      </w:r>
      <w:r w:rsidRPr="006A2189">
        <w:rPr>
          <w:rFonts w:ascii="標楷體" w:eastAsia="標楷體" w:hAnsi="標楷體" w:hint="eastAsia"/>
        </w:rPr>
        <w:t>勞資爭議經雙方當事人書面同意，得不經調解，</w:t>
      </w:r>
      <w:proofErr w:type="gramStart"/>
      <w:r w:rsidRPr="006A2189">
        <w:rPr>
          <w:rFonts w:ascii="標楷體" w:eastAsia="標楷體" w:hAnsi="標楷體" w:hint="eastAsia"/>
        </w:rPr>
        <w:t>逕</w:t>
      </w:r>
      <w:proofErr w:type="gramEnd"/>
      <w:r w:rsidRPr="006A2189">
        <w:rPr>
          <w:rFonts w:ascii="標楷體" w:eastAsia="標楷體" w:hAnsi="標楷體" w:hint="eastAsia"/>
        </w:rPr>
        <w:t>向直轄市或縣（市）主管機關申請交付仲裁。至於</w:t>
      </w:r>
      <w:r w:rsidRPr="006A2189">
        <w:rPr>
          <w:rFonts w:ascii="標楷體" w:eastAsia="標楷體" w:hAnsi="標楷體" w:hint="eastAsia"/>
          <w:kern w:val="0"/>
          <w:lang w:bidi="sa-IN"/>
        </w:rPr>
        <w:t>調解不成立者，也可依據以下程序申請仲裁以解決勞資爭議：</w:t>
      </w:r>
    </w:p>
    <w:p w:rsidR="006A2189" w:rsidRPr="006A2189" w:rsidRDefault="006A2189" w:rsidP="006A2189">
      <w:pPr>
        <w:pStyle w:val="a4"/>
        <w:numPr>
          <w:ilvl w:val="0"/>
          <w:numId w:val="3"/>
        </w:numPr>
        <w:spacing w:line="420" w:lineRule="exact"/>
        <w:ind w:leftChars="0"/>
        <w:jc w:val="both"/>
        <w:rPr>
          <w:rFonts w:ascii="標楷體" w:eastAsia="標楷體" w:hAnsi="標楷體"/>
        </w:rPr>
      </w:pPr>
      <w:r w:rsidRPr="006A2189">
        <w:rPr>
          <w:rFonts w:ascii="標楷體" w:eastAsia="標楷體" w:hAnsi="標楷體" w:hint="eastAsia"/>
        </w:rPr>
        <w:t>勞資爭議調解不成立者，雙方當事人得共同向直轄市或縣（市）主管機關申請交付仲裁。但調整事項之勞資爭議，當事人一方為《團體協約法》第</w:t>
      </w:r>
      <w:r w:rsidRPr="006A2189">
        <w:rPr>
          <w:rFonts w:ascii="標楷體" w:eastAsia="標楷體" w:hAnsi="標楷體"/>
        </w:rPr>
        <w:t>10</w:t>
      </w:r>
      <w:r w:rsidRPr="006A2189">
        <w:rPr>
          <w:rFonts w:ascii="標楷體" w:eastAsia="標楷體" w:hAnsi="標楷體" w:hint="eastAsia"/>
        </w:rPr>
        <w:t>條第</w:t>
      </w:r>
      <w:r w:rsidRPr="006A2189">
        <w:rPr>
          <w:rFonts w:ascii="標楷體" w:eastAsia="標楷體" w:hAnsi="標楷體"/>
        </w:rPr>
        <w:t>2</w:t>
      </w:r>
      <w:r w:rsidRPr="006A2189">
        <w:rPr>
          <w:rFonts w:ascii="標楷體" w:eastAsia="標楷體" w:hAnsi="標楷體" w:hint="eastAsia"/>
        </w:rPr>
        <w:t>項規定之機關（構）、學校時，非經同條項所定機關之核可，不得申請仲裁。</w:t>
      </w:r>
    </w:p>
    <w:p w:rsidR="006A2189" w:rsidRPr="006A2189" w:rsidRDefault="006A2189" w:rsidP="006A2189">
      <w:pPr>
        <w:pStyle w:val="a4"/>
        <w:numPr>
          <w:ilvl w:val="0"/>
          <w:numId w:val="3"/>
        </w:numPr>
        <w:spacing w:line="420" w:lineRule="exact"/>
        <w:ind w:leftChars="0"/>
        <w:jc w:val="both"/>
        <w:rPr>
          <w:rFonts w:ascii="標楷體" w:eastAsia="標楷體" w:hAnsi="標楷體"/>
          <w:kern w:val="0"/>
          <w:lang w:bidi="sa-IN"/>
        </w:rPr>
      </w:pPr>
      <w:r w:rsidRPr="006A2189">
        <w:rPr>
          <w:rFonts w:ascii="標楷體" w:eastAsia="標楷體" w:hAnsi="標楷體" w:hint="eastAsia"/>
        </w:rPr>
        <w:t>勞資爭議當事人之一方為同法第</w:t>
      </w:r>
      <w:r w:rsidRPr="006A2189">
        <w:rPr>
          <w:rFonts w:ascii="標楷體" w:eastAsia="標楷體" w:hAnsi="標楷體"/>
        </w:rPr>
        <w:t>54</w:t>
      </w:r>
      <w:r w:rsidRPr="006A2189">
        <w:rPr>
          <w:rFonts w:ascii="標楷體" w:eastAsia="標楷體" w:hAnsi="標楷體" w:hint="eastAsia"/>
        </w:rPr>
        <w:t>條第</w:t>
      </w:r>
      <w:r w:rsidRPr="006A2189">
        <w:rPr>
          <w:rFonts w:ascii="標楷體" w:eastAsia="標楷體" w:hAnsi="標楷體"/>
        </w:rPr>
        <w:t>2</w:t>
      </w:r>
      <w:r w:rsidRPr="006A2189">
        <w:rPr>
          <w:rFonts w:ascii="標楷體" w:eastAsia="標楷體" w:hAnsi="標楷體" w:hint="eastAsia"/>
        </w:rPr>
        <w:t>項之勞工者（亦即「不得罷工」之勞工），其調整事項之勞資爭議，任一方得向直轄市或縣（市）申請交付仲裁；其屬同條第</w:t>
      </w:r>
      <w:r w:rsidRPr="006A2189">
        <w:rPr>
          <w:rFonts w:ascii="標楷體" w:eastAsia="標楷體" w:hAnsi="標楷體"/>
        </w:rPr>
        <w:t>3</w:t>
      </w:r>
      <w:r w:rsidRPr="006A2189">
        <w:rPr>
          <w:rFonts w:ascii="標楷體" w:eastAsia="標楷體" w:hAnsi="標楷體" w:hint="eastAsia"/>
        </w:rPr>
        <w:t>項事業調整事項之勞資爭議，而雙方未能約定「必要服務條款」者，任一方得向中央主管機關申請交付仲裁。這是因為法律對於若干特定事業勞工之罷工權予以禁止或限制行使，又考量工會所提</w:t>
      </w:r>
      <w:r w:rsidRPr="006A2189">
        <w:rPr>
          <w:rFonts w:ascii="標楷體" w:eastAsia="標楷體" w:hAnsi="標楷體" w:hint="eastAsia"/>
          <w:bCs/>
        </w:rPr>
        <w:t>「調整事項」之勞資爭議，</w:t>
      </w:r>
      <w:proofErr w:type="gramStart"/>
      <w:r w:rsidRPr="006A2189">
        <w:rPr>
          <w:rFonts w:ascii="標楷體" w:eastAsia="標楷體" w:hAnsi="標楷體" w:hint="eastAsia"/>
          <w:bCs/>
        </w:rPr>
        <w:t>攸</w:t>
      </w:r>
      <w:proofErr w:type="gramEnd"/>
      <w:r w:rsidRPr="006A2189">
        <w:rPr>
          <w:rFonts w:ascii="標楷體" w:eastAsia="標楷體" w:hAnsi="標楷體" w:hint="eastAsia"/>
          <w:bCs/>
        </w:rPr>
        <w:t>關全體會員勞動條件之維持或變更，故「</w:t>
      </w:r>
      <w:r w:rsidRPr="006A2189">
        <w:rPr>
          <w:rFonts w:ascii="標楷體" w:eastAsia="標楷體" w:hAnsi="標楷體" w:hint="eastAsia"/>
          <w:szCs w:val="24"/>
        </w:rPr>
        <w:t>賦予調整事項之勞資爭議一方當事人單方申請交付仲裁之權利」。</w:t>
      </w:r>
    </w:p>
    <w:p w:rsidR="006A2189" w:rsidRPr="006A2189" w:rsidRDefault="006A2189" w:rsidP="006A2189">
      <w:pPr>
        <w:pStyle w:val="a4"/>
        <w:numPr>
          <w:ilvl w:val="0"/>
          <w:numId w:val="3"/>
        </w:numPr>
        <w:spacing w:line="420" w:lineRule="exact"/>
        <w:ind w:leftChars="0"/>
        <w:jc w:val="both"/>
        <w:rPr>
          <w:rFonts w:ascii="標楷體" w:eastAsia="標楷體" w:hAnsi="標楷體"/>
          <w:kern w:val="0"/>
          <w:lang w:bidi="sa-IN"/>
        </w:rPr>
      </w:pPr>
      <w:r w:rsidRPr="006A2189">
        <w:rPr>
          <w:rFonts w:ascii="標楷體" w:eastAsia="標楷體" w:hAnsi="標楷體" w:hint="eastAsia"/>
        </w:rPr>
        <w:t>調整事項之勞資爭議經調解不成立者，直轄市或縣（市）主管機關認有影響公眾生活及利益情節重大，或應目的事業主管機關之請求，得依職權交付仲裁，並通知雙方當事人。</w:t>
      </w:r>
    </w:p>
    <w:p w:rsidR="006A2189" w:rsidRPr="006A2189" w:rsidRDefault="006A2189" w:rsidP="006A2189">
      <w:pPr>
        <w:pStyle w:val="HTML"/>
        <w:spacing w:line="420" w:lineRule="exact"/>
        <w:jc w:val="both"/>
        <w:rPr>
          <w:rFonts w:ascii="標楷體" w:eastAsia="標楷體" w:hAnsi="標楷體"/>
          <w:lang w:bidi="sa-IN"/>
        </w:rPr>
      </w:pPr>
      <w:r w:rsidRPr="006A2189">
        <w:rPr>
          <w:rFonts w:ascii="標楷體" w:eastAsia="標楷體" w:hAnsi="標楷體"/>
          <w:lang w:bidi="sa-IN"/>
        </w:rPr>
        <w:t xml:space="preserve">    </w:t>
      </w:r>
      <w:r w:rsidRPr="006A2189">
        <w:rPr>
          <w:rFonts w:ascii="標楷體" w:eastAsia="標楷體" w:hAnsi="標楷體" w:hint="eastAsia"/>
          <w:lang w:bidi="sa-IN"/>
        </w:rPr>
        <w:t>其次，依據</w:t>
      </w:r>
      <w:r w:rsidRPr="006A2189">
        <w:rPr>
          <w:rFonts w:ascii="標楷體" w:eastAsia="標楷體" w:hAnsi="標楷體" w:hint="eastAsia"/>
          <w:bCs/>
        </w:rPr>
        <w:t>《勞資爭議處理法》第</w:t>
      </w:r>
      <w:r w:rsidRPr="006A2189">
        <w:rPr>
          <w:rFonts w:ascii="標楷體" w:eastAsia="標楷體" w:hAnsi="標楷體"/>
          <w:bCs/>
        </w:rPr>
        <w:t>23</w:t>
      </w:r>
      <w:r w:rsidRPr="006A2189">
        <w:rPr>
          <w:rFonts w:ascii="標楷體" w:eastAsia="標楷體" w:hAnsi="標楷體" w:hint="eastAsia"/>
          <w:bCs/>
        </w:rPr>
        <w:t>條</w:t>
      </w:r>
      <w:r w:rsidRPr="006A2189">
        <w:rPr>
          <w:rFonts w:ascii="標楷體" w:eastAsia="標楷體" w:hAnsi="標楷體" w:hint="eastAsia"/>
          <w:lang w:bidi="sa-IN"/>
        </w:rPr>
        <w:t>規定，勞資爭議經調解成立者，視為爭議雙方當事人間之契約；當事人一方為工會時，視為當事人間之團體協約。</w:t>
      </w:r>
      <w:r w:rsidRPr="006A2189">
        <w:rPr>
          <w:rFonts w:ascii="標楷體" w:eastAsia="標楷體" w:hAnsi="標楷體" w:cs="Times New Roman" w:hint="eastAsia"/>
          <w:lang w:bidi="sa-IN"/>
        </w:rPr>
        <w:t>同法第</w:t>
      </w:r>
      <w:r w:rsidRPr="006A2189">
        <w:rPr>
          <w:rFonts w:ascii="標楷體" w:eastAsia="標楷體" w:hAnsi="標楷體" w:cs="Times New Roman"/>
          <w:lang w:bidi="sa-IN"/>
        </w:rPr>
        <w:t>37</w:t>
      </w:r>
      <w:r w:rsidRPr="006A2189">
        <w:rPr>
          <w:rFonts w:ascii="標楷體" w:eastAsia="標楷體" w:hAnsi="標楷體" w:cs="Times New Roman" w:hint="eastAsia"/>
          <w:lang w:bidi="sa-IN"/>
        </w:rPr>
        <w:t>條第</w:t>
      </w:r>
      <w:r w:rsidRPr="006A2189">
        <w:rPr>
          <w:rFonts w:ascii="標楷體" w:eastAsia="標楷體" w:hAnsi="標楷體" w:cs="Times New Roman"/>
          <w:lang w:bidi="sa-IN"/>
        </w:rPr>
        <w:t>2</w:t>
      </w:r>
      <w:r w:rsidRPr="006A2189">
        <w:rPr>
          <w:rFonts w:ascii="標楷體" w:eastAsia="標楷體" w:hAnsi="標楷體" w:cs="Times New Roman" w:hint="eastAsia"/>
          <w:lang w:bidi="sa-IN"/>
        </w:rPr>
        <w:t>項規定，</w:t>
      </w:r>
      <w:r w:rsidRPr="006A2189">
        <w:rPr>
          <w:rFonts w:ascii="標楷體" w:eastAsia="標楷體" w:hAnsi="標楷體" w:cs="Times New Roman" w:hint="eastAsia"/>
        </w:rPr>
        <w:t>仲裁委員會就調整事項之勞資爭議所作成之仲裁判斷，</w:t>
      </w:r>
      <w:r w:rsidRPr="006A2189">
        <w:rPr>
          <w:rFonts w:ascii="標楷體" w:eastAsia="標楷體" w:hAnsi="標楷體" w:hint="eastAsia"/>
        </w:rPr>
        <w:t>視為爭議當事人間之契約；當事人一方為工會時，視為當事人間之團體協約。</w:t>
      </w:r>
    </w:p>
    <w:p w:rsidR="006A2189" w:rsidRPr="006A2189" w:rsidRDefault="006A2189" w:rsidP="006A2189">
      <w:pPr>
        <w:spacing w:line="420" w:lineRule="exact"/>
        <w:jc w:val="both"/>
        <w:rPr>
          <w:rFonts w:ascii="標楷體" w:eastAsia="標楷體" w:hAnsi="標楷體"/>
        </w:rPr>
      </w:pPr>
      <w:r w:rsidRPr="006A2189">
        <w:rPr>
          <w:rFonts w:ascii="標楷體" w:eastAsia="標楷體" w:hAnsi="標楷體" w:hint="eastAsia"/>
          <w:bCs/>
        </w:rPr>
        <w:t xml:space="preserve">　　</w:t>
      </w:r>
      <w:r w:rsidRPr="006A2189">
        <w:rPr>
          <w:rFonts w:ascii="標楷體" w:eastAsia="標楷體" w:hAnsi="標楷體" w:hint="eastAsia"/>
        </w:rPr>
        <w:t>最後，依照</w:t>
      </w:r>
      <w:r w:rsidRPr="006A2189">
        <w:rPr>
          <w:rFonts w:ascii="標楷體" w:eastAsia="標楷體" w:hAnsi="標楷體" w:hint="eastAsia"/>
          <w:kern w:val="0"/>
          <w:lang w:bidi="sa-IN"/>
        </w:rPr>
        <w:t>《勞資爭議處理法》</w:t>
      </w:r>
      <w:r w:rsidRPr="006A2189">
        <w:rPr>
          <w:rFonts w:ascii="標楷體" w:eastAsia="標楷體" w:hAnsi="標楷體" w:hint="eastAsia"/>
        </w:rPr>
        <w:t>第</w:t>
      </w:r>
      <w:r w:rsidRPr="006A2189">
        <w:rPr>
          <w:rFonts w:ascii="標楷體" w:eastAsia="標楷體" w:hAnsi="標楷體"/>
        </w:rPr>
        <w:t>8</w:t>
      </w:r>
      <w:r w:rsidRPr="006A2189">
        <w:rPr>
          <w:rFonts w:ascii="標楷體" w:eastAsia="標楷體" w:hAnsi="標楷體" w:hint="eastAsia"/>
        </w:rPr>
        <w:t>條規定，勞資爭議在調解、仲裁或裁決</w:t>
      </w:r>
      <w:proofErr w:type="gramStart"/>
      <w:r w:rsidRPr="006A2189">
        <w:rPr>
          <w:rFonts w:ascii="標楷體" w:eastAsia="標楷體" w:hAnsi="標楷體" w:hint="eastAsia"/>
        </w:rPr>
        <w:t>期間，</w:t>
      </w:r>
      <w:proofErr w:type="gramEnd"/>
      <w:r w:rsidRPr="006A2189">
        <w:rPr>
          <w:rFonts w:ascii="標楷體" w:eastAsia="標楷體" w:hAnsi="標楷體" w:hint="eastAsia"/>
        </w:rPr>
        <w:t>資方不得因該勞資爭議事件而歇業、停工、終止勞動契約或其他不利於勞工之行為；勞方亦不得因該勞資爭議事件而罷工或進行其他爭議行為。有關勞資爭議行為的相關規範，</w:t>
      </w:r>
      <w:r w:rsidRPr="006A2189">
        <w:rPr>
          <w:rFonts w:ascii="標楷體" w:eastAsia="標楷體" w:hAnsi="標楷體" w:hint="eastAsia"/>
          <w:kern w:val="0"/>
          <w:lang w:bidi="sa-IN"/>
        </w:rPr>
        <w:t>《勞資爭議處理法》</w:t>
      </w:r>
      <w:r w:rsidRPr="006A2189">
        <w:rPr>
          <w:rFonts w:ascii="標楷體" w:eastAsia="標楷體" w:hAnsi="標楷體" w:hint="eastAsia"/>
        </w:rPr>
        <w:t>第</w:t>
      </w:r>
      <w:r w:rsidRPr="006A2189">
        <w:rPr>
          <w:rFonts w:ascii="標楷體" w:eastAsia="標楷體" w:hAnsi="標楷體"/>
        </w:rPr>
        <w:t>53</w:t>
      </w:r>
      <w:r w:rsidRPr="006A2189">
        <w:rPr>
          <w:rFonts w:ascii="標楷體" w:eastAsia="標楷體" w:hAnsi="標楷體" w:hint="eastAsia"/>
        </w:rPr>
        <w:t>條規定，勞資爭議若未經調解不成立，不可以有爭議行為；權利事項之勞資爭議，不得罷工。但雇主或雇主團體經中央主管機關裁決認定違反《工會法》第</w:t>
      </w:r>
      <w:r w:rsidRPr="006A2189">
        <w:rPr>
          <w:rFonts w:ascii="標楷體" w:eastAsia="標楷體" w:hAnsi="標楷體"/>
        </w:rPr>
        <w:t>35</w:t>
      </w:r>
      <w:r w:rsidRPr="006A2189">
        <w:rPr>
          <w:rFonts w:ascii="標楷體" w:eastAsia="標楷體" w:hAnsi="標楷體" w:hint="eastAsia"/>
        </w:rPr>
        <w:t>條或《團體協約法》第</w:t>
      </w:r>
      <w:r w:rsidRPr="006A2189">
        <w:rPr>
          <w:rFonts w:ascii="標楷體" w:eastAsia="標楷體" w:hAnsi="標楷體"/>
        </w:rPr>
        <w:t>6</w:t>
      </w:r>
      <w:r w:rsidRPr="006A2189">
        <w:rPr>
          <w:rFonts w:ascii="標楷體" w:eastAsia="標楷體" w:hAnsi="標楷體" w:hint="eastAsia"/>
        </w:rPr>
        <w:t>條第</w:t>
      </w:r>
      <w:r w:rsidRPr="006A2189">
        <w:rPr>
          <w:rFonts w:ascii="標楷體" w:eastAsia="標楷體" w:hAnsi="標楷體"/>
        </w:rPr>
        <w:t>1</w:t>
      </w:r>
      <w:r w:rsidRPr="006A2189">
        <w:rPr>
          <w:rFonts w:ascii="標楷體" w:eastAsia="標楷體" w:hAnsi="標楷體" w:hint="eastAsia"/>
        </w:rPr>
        <w:t>項規定者，工會可以行使爭議行為。</w:t>
      </w:r>
      <w:r w:rsidRPr="006A2189">
        <w:rPr>
          <w:rFonts w:ascii="標楷體" w:eastAsia="標楷體" w:hAnsi="標楷體" w:hint="eastAsia"/>
          <w:kern w:val="0"/>
        </w:rPr>
        <w:t>亦即為保障勞方「集體勞動三權」之行使，對於雇主有違反上述法律明定「不當勞動行為」，經裁決決定機關認定屬實時，其爭議性質雖屬權利事項，惟其與單純一般私權之權利受損不同，故勞方依法仍得為爭議行為。</w:t>
      </w:r>
    </w:p>
    <w:p w:rsidR="006A2189" w:rsidRPr="006A2189" w:rsidRDefault="006A2189" w:rsidP="00E81956">
      <w:pPr>
        <w:jc w:val="right"/>
        <w:rPr>
          <w:rFonts w:ascii="標楷體" w:eastAsia="標楷體" w:hAnsi="標楷體"/>
          <w:sz w:val="20"/>
          <w:szCs w:val="20"/>
        </w:rPr>
      </w:pPr>
    </w:p>
    <w:p w:rsidR="006A2189" w:rsidRPr="006A2189" w:rsidRDefault="006A2189" w:rsidP="00E81956">
      <w:pPr>
        <w:jc w:val="right"/>
        <w:rPr>
          <w:rFonts w:ascii="標楷體" w:eastAsia="標楷體" w:hAnsi="標楷體"/>
          <w:sz w:val="20"/>
          <w:szCs w:val="20"/>
        </w:rPr>
      </w:pPr>
    </w:p>
    <w:p w:rsidR="00D25F65" w:rsidRPr="006A2189" w:rsidRDefault="00D25F65">
      <w:pPr>
        <w:rPr>
          <w:rFonts w:ascii="標楷體" w:eastAsia="標楷體" w:hAnsi="標楷體" w:hint="eastAsia"/>
        </w:rPr>
      </w:pPr>
      <w:bookmarkStart w:id="0" w:name="_GoBack"/>
      <w:bookmarkEnd w:id="0"/>
    </w:p>
    <w:sectPr w:rsidR="00D25F65" w:rsidRPr="006A2189" w:rsidSect="006A2189">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91" w:rsidRDefault="00CB0091" w:rsidP="00D5742E">
      <w:r>
        <w:separator/>
      </w:r>
    </w:p>
  </w:endnote>
  <w:endnote w:type="continuationSeparator" w:id="0">
    <w:p w:rsidR="00CB0091" w:rsidRDefault="00CB0091" w:rsidP="00D5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粗圓體">
    <w:panose1 w:val="020F0709000000000000"/>
    <w:charset w:val="88"/>
    <w:family w:val="modern"/>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68335"/>
      <w:docPartObj>
        <w:docPartGallery w:val="Page Numbers (Bottom of Page)"/>
        <w:docPartUnique/>
      </w:docPartObj>
    </w:sdtPr>
    <w:sdtEndPr/>
    <w:sdtContent>
      <w:p w:rsidR="00E81956" w:rsidRDefault="00E81956" w:rsidP="00E81956">
        <w:pPr>
          <w:pStyle w:val="a8"/>
          <w:ind w:right="400" w:firstLineChars="3650" w:firstLine="7300"/>
        </w:pPr>
        <w:r>
          <w:rPr>
            <w:rFonts w:hint="eastAsia"/>
          </w:rPr>
          <w:t>Page:</w:t>
        </w:r>
        <w:r>
          <w:fldChar w:fldCharType="begin"/>
        </w:r>
        <w:r>
          <w:instrText>PAGE   \* MERGEFORMAT</w:instrText>
        </w:r>
        <w:r>
          <w:fldChar w:fldCharType="separate"/>
        </w:r>
        <w:r w:rsidR="006A2189" w:rsidRPr="006A2189">
          <w:rPr>
            <w:noProof/>
            <w:lang w:val="zh-TW"/>
          </w:rPr>
          <w:t>2</w:t>
        </w:r>
        <w:r>
          <w:fldChar w:fldCharType="end"/>
        </w:r>
      </w:p>
    </w:sdtContent>
  </w:sdt>
  <w:p w:rsidR="00E81956" w:rsidRDefault="00E819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91" w:rsidRDefault="00CB0091" w:rsidP="00D5742E">
      <w:r>
        <w:separator/>
      </w:r>
    </w:p>
  </w:footnote>
  <w:footnote w:type="continuationSeparator" w:id="0">
    <w:p w:rsidR="00CB0091" w:rsidRDefault="00CB0091" w:rsidP="00D57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B0057"/>
    <w:multiLevelType w:val="hybridMultilevel"/>
    <w:tmpl w:val="C6B480A4"/>
    <w:lvl w:ilvl="0" w:tplc="2F38D2E2">
      <w:start w:val="1"/>
      <w:numFmt w:val="taiwaneseCountingThousand"/>
      <w:lvlText w:val="（%1）"/>
      <w:lvlJc w:val="left"/>
      <w:pPr>
        <w:ind w:left="720" w:hanging="720"/>
      </w:pPr>
      <w:rPr>
        <w:rFonts w:asciiTheme="minorEastAsia" w:hAnsiTheme="minorEastAs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F6396C"/>
    <w:multiLevelType w:val="hybridMultilevel"/>
    <w:tmpl w:val="8E1C511C"/>
    <w:lvl w:ilvl="0" w:tplc="06207B6E">
      <w:start w:val="1"/>
      <w:numFmt w:val="taiwaneseCountingThousand"/>
      <w:lvlText w:val="（%1）"/>
      <w:lvlJc w:val="left"/>
      <w:pPr>
        <w:ind w:left="720" w:hanging="72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E811E8E"/>
    <w:multiLevelType w:val="hybridMultilevel"/>
    <w:tmpl w:val="2F5C2586"/>
    <w:lvl w:ilvl="0" w:tplc="7DE88C62">
      <w:start w:val="1"/>
      <w:numFmt w:val="taiwaneseCountingThousand"/>
      <w:lvlText w:val="（%1）"/>
      <w:lvlJc w:val="left"/>
      <w:pPr>
        <w:ind w:left="720" w:hanging="720"/>
      </w:pPr>
      <w:rPr>
        <w:rFonts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65"/>
    <w:rsid w:val="000016BE"/>
    <w:rsid w:val="000F3E2A"/>
    <w:rsid w:val="00186377"/>
    <w:rsid w:val="001D1C52"/>
    <w:rsid w:val="003473BE"/>
    <w:rsid w:val="003B338C"/>
    <w:rsid w:val="005036DA"/>
    <w:rsid w:val="005162A8"/>
    <w:rsid w:val="006A2189"/>
    <w:rsid w:val="006A32DD"/>
    <w:rsid w:val="006B5CA2"/>
    <w:rsid w:val="006C4F7C"/>
    <w:rsid w:val="007C396C"/>
    <w:rsid w:val="007C561D"/>
    <w:rsid w:val="00881647"/>
    <w:rsid w:val="009D516D"/>
    <w:rsid w:val="00A565D1"/>
    <w:rsid w:val="00B8125A"/>
    <w:rsid w:val="00B86BF1"/>
    <w:rsid w:val="00C6203D"/>
    <w:rsid w:val="00CB0091"/>
    <w:rsid w:val="00D25F65"/>
    <w:rsid w:val="00D5742E"/>
    <w:rsid w:val="00E243BB"/>
    <w:rsid w:val="00E81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BD124A-9113-4247-B069-1307D81E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6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rsid w:val="00D25F65"/>
    <w:pPr>
      <w:spacing w:beforeLines="50" w:afterLines="50" w:line="400" w:lineRule="exact"/>
      <w:jc w:val="both"/>
    </w:pPr>
    <w:rPr>
      <w:rFonts w:ascii="Times New Roman" w:eastAsia="華康粗圓體" w:hAnsi="Times New Roman" w:cs="Times New Roman"/>
      <w:color w:val="000000"/>
    </w:rPr>
  </w:style>
  <w:style w:type="paragraph" w:styleId="a4">
    <w:name w:val="List Paragraph"/>
    <w:basedOn w:val="a"/>
    <w:uiPriority w:val="99"/>
    <w:qFormat/>
    <w:rsid w:val="00B8125A"/>
    <w:pPr>
      <w:ind w:leftChars="200" w:left="480"/>
    </w:pPr>
  </w:style>
  <w:style w:type="paragraph" w:customStyle="1" w:styleId="a5">
    <w:name w:val="小小標"/>
    <w:basedOn w:val="a"/>
    <w:rsid w:val="00881647"/>
    <w:pPr>
      <w:spacing w:beforeLines="50" w:afterLines="50" w:line="320" w:lineRule="exact"/>
      <w:jc w:val="both"/>
    </w:pPr>
    <w:rPr>
      <w:rFonts w:ascii="Times New Roman" w:eastAsia="華康中圓體" w:hAnsi="Times New Roman" w:cs="Times New Roman"/>
      <w:sz w:val="20"/>
      <w:szCs w:val="24"/>
    </w:rPr>
  </w:style>
  <w:style w:type="paragraph" w:styleId="a6">
    <w:name w:val="header"/>
    <w:basedOn w:val="a"/>
    <w:link w:val="a7"/>
    <w:uiPriority w:val="99"/>
    <w:unhideWhenUsed/>
    <w:rsid w:val="00D5742E"/>
    <w:pPr>
      <w:tabs>
        <w:tab w:val="center" w:pos="4153"/>
        <w:tab w:val="right" w:pos="8306"/>
      </w:tabs>
      <w:snapToGrid w:val="0"/>
    </w:pPr>
    <w:rPr>
      <w:sz w:val="20"/>
      <w:szCs w:val="20"/>
    </w:rPr>
  </w:style>
  <w:style w:type="character" w:customStyle="1" w:styleId="a7">
    <w:name w:val="頁首 字元"/>
    <w:basedOn w:val="a0"/>
    <w:link w:val="a6"/>
    <w:uiPriority w:val="99"/>
    <w:rsid w:val="00D5742E"/>
    <w:rPr>
      <w:sz w:val="20"/>
      <w:szCs w:val="20"/>
    </w:rPr>
  </w:style>
  <w:style w:type="paragraph" w:styleId="a8">
    <w:name w:val="footer"/>
    <w:basedOn w:val="a"/>
    <w:link w:val="a9"/>
    <w:uiPriority w:val="99"/>
    <w:unhideWhenUsed/>
    <w:rsid w:val="00D5742E"/>
    <w:pPr>
      <w:tabs>
        <w:tab w:val="center" w:pos="4153"/>
        <w:tab w:val="right" w:pos="8306"/>
      </w:tabs>
      <w:snapToGrid w:val="0"/>
    </w:pPr>
    <w:rPr>
      <w:sz w:val="20"/>
      <w:szCs w:val="20"/>
    </w:rPr>
  </w:style>
  <w:style w:type="character" w:customStyle="1" w:styleId="a9">
    <w:name w:val="頁尾 字元"/>
    <w:basedOn w:val="a0"/>
    <w:link w:val="a8"/>
    <w:uiPriority w:val="99"/>
    <w:rsid w:val="00D5742E"/>
    <w:rPr>
      <w:sz w:val="20"/>
      <w:szCs w:val="20"/>
    </w:rPr>
  </w:style>
  <w:style w:type="character" w:styleId="aa">
    <w:name w:val="Hyperlink"/>
    <w:basedOn w:val="a0"/>
    <w:uiPriority w:val="99"/>
    <w:semiHidden/>
    <w:unhideWhenUsed/>
    <w:rsid w:val="003B338C"/>
    <w:rPr>
      <w:color w:val="0000FF"/>
      <w:u w:val="single"/>
    </w:rPr>
  </w:style>
  <w:style w:type="paragraph" w:customStyle="1" w:styleId="ab">
    <w:name w:val="條一"/>
    <w:basedOn w:val="a"/>
    <w:rsid w:val="006B5CA2"/>
    <w:pPr>
      <w:spacing w:line="360" w:lineRule="exact"/>
      <w:ind w:left="737" w:right="142" w:hanging="624"/>
      <w:jc w:val="both"/>
    </w:pPr>
    <w:rPr>
      <w:rFonts w:ascii="Times New Roman" w:eastAsia="標楷體" w:hAnsi="Times New Roman" w:cs="Times New Roman"/>
      <w:spacing w:val="20"/>
      <w:sz w:val="26"/>
      <w:szCs w:val="20"/>
    </w:rPr>
  </w:style>
  <w:style w:type="paragraph" w:customStyle="1" w:styleId="1">
    <w:name w:val="字元 字元 字元 字元 字元 字元 字元 字元 字元 字元 字元 字元 字元 字元 字元 字元 字元1 字元 字元 字元 字元 字元 字元 字元 字元 字元 字元"/>
    <w:basedOn w:val="a"/>
    <w:rsid w:val="006B5CA2"/>
    <w:pPr>
      <w:widowControl/>
      <w:spacing w:after="160" w:line="240" w:lineRule="exact"/>
    </w:pPr>
    <w:rPr>
      <w:rFonts w:ascii="Verdana" w:eastAsia="新細明體" w:hAnsi="Verdana" w:cs="Times New Roman"/>
      <w:kern w:val="0"/>
      <w:sz w:val="20"/>
      <w:szCs w:val="20"/>
      <w:lang w:eastAsia="en-US"/>
    </w:rPr>
  </w:style>
  <w:style w:type="paragraph" w:styleId="HTML">
    <w:name w:val="HTML Preformatted"/>
    <w:basedOn w:val="a"/>
    <w:link w:val="HTML0"/>
    <w:uiPriority w:val="99"/>
    <w:rsid w:val="006A21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A2189"/>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257E-149B-411D-BBD7-5A4DE6C9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WU</cp:lastModifiedBy>
  <cp:revision>3</cp:revision>
  <dcterms:created xsi:type="dcterms:W3CDTF">2016-10-07T01:04:00Z</dcterms:created>
  <dcterms:modified xsi:type="dcterms:W3CDTF">2016-10-11T07:57:00Z</dcterms:modified>
</cp:coreProperties>
</file>